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BB1" w:rsidRPr="00007519" w:rsidRDefault="00420F7A">
      <w:pPr>
        <w:rPr>
          <w:sz w:val="28"/>
          <w:szCs w:val="28"/>
        </w:rPr>
      </w:pPr>
      <w:r>
        <w:rPr>
          <w:sz w:val="28"/>
          <w:szCs w:val="28"/>
        </w:rPr>
        <w:t>Stanisław Karczm</w:t>
      </w:r>
      <w:r w:rsidR="00007519" w:rsidRPr="00007519">
        <w:rPr>
          <w:sz w:val="28"/>
          <w:szCs w:val="28"/>
        </w:rPr>
        <w:t>arczyk</w:t>
      </w:r>
    </w:p>
    <w:p w:rsidR="00007519" w:rsidRPr="00007519" w:rsidRDefault="00007519">
      <w:pPr>
        <w:rPr>
          <w:sz w:val="28"/>
          <w:szCs w:val="28"/>
        </w:rPr>
      </w:pPr>
      <w:r w:rsidRPr="00007519">
        <w:rPr>
          <w:sz w:val="28"/>
          <w:szCs w:val="28"/>
        </w:rPr>
        <w:t>Politechnika Krakowska</w:t>
      </w:r>
    </w:p>
    <w:p w:rsidR="00007519" w:rsidRPr="00007519" w:rsidRDefault="00007519">
      <w:pPr>
        <w:rPr>
          <w:sz w:val="28"/>
          <w:szCs w:val="28"/>
        </w:rPr>
      </w:pPr>
    </w:p>
    <w:p w:rsidR="00007519" w:rsidRPr="00420F7A" w:rsidRDefault="00007519" w:rsidP="00972E14">
      <w:pPr>
        <w:jc w:val="center"/>
        <w:rPr>
          <w:b/>
          <w:sz w:val="28"/>
          <w:szCs w:val="28"/>
        </w:rPr>
      </w:pPr>
      <w:r w:rsidRPr="00420F7A">
        <w:rPr>
          <w:b/>
          <w:sz w:val="28"/>
          <w:szCs w:val="28"/>
        </w:rPr>
        <w:t>Zagadnienia diagnostyki obiektów zabytkowych</w:t>
      </w:r>
    </w:p>
    <w:p w:rsidR="00007519" w:rsidRPr="00420F7A" w:rsidRDefault="00007519" w:rsidP="00972E14">
      <w:pPr>
        <w:jc w:val="center"/>
        <w:rPr>
          <w:b/>
          <w:sz w:val="28"/>
          <w:szCs w:val="28"/>
        </w:rPr>
      </w:pPr>
    </w:p>
    <w:p w:rsidR="00007519" w:rsidRPr="00420F7A" w:rsidRDefault="00007519" w:rsidP="00754D5A">
      <w:pPr>
        <w:ind w:left="2832" w:firstLine="708"/>
        <w:jc w:val="both"/>
        <w:rPr>
          <w:b/>
          <w:sz w:val="28"/>
          <w:szCs w:val="28"/>
        </w:rPr>
      </w:pPr>
      <w:r w:rsidRPr="00420F7A">
        <w:rPr>
          <w:b/>
          <w:sz w:val="28"/>
          <w:szCs w:val="28"/>
        </w:rPr>
        <w:t>Streszczenie</w:t>
      </w:r>
    </w:p>
    <w:p w:rsidR="00754D5A" w:rsidRPr="00007519" w:rsidRDefault="00007519" w:rsidP="00754D5A">
      <w:pPr>
        <w:ind w:firstLine="708"/>
        <w:jc w:val="both"/>
        <w:rPr>
          <w:sz w:val="28"/>
          <w:szCs w:val="28"/>
        </w:rPr>
      </w:pPr>
      <w:r w:rsidRPr="00007519">
        <w:rPr>
          <w:sz w:val="28"/>
          <w:szCs w:val="28"/>
        </w:rPr>
        <w:t>Ocena poziomu bezpieczeństwa i użytkowalności obiektów budownictwa stanowi jedno z ważniejszych i złożonych zadań stawianych</w:t>
      </w:r>
      <w:r>
        <w:rPr>
          <w:sz w:val="28"/>
          <w:szCs w:val="28"/>
        </w:rPr>
        <w:t xml:space="preserve"> przez inwestora</w:t>
      </w:r>
      <w:r w:rsidR="00485DCC">
        <w:rPr>
          <w:sz w:val="28"/>
          <w:szCs w:val="28"/>
        </w:rPr>
        <w:t xml:space="preserve"> inżynierom i wyspecjalizowanym</w:t>
      </w:r>
      <w:r>
        <w:rPr>
          <w:sz w:val="28"/>
          <w:szCs w:val="28"/>
        </w:rPr>
        <w:t xml:space="preserve"> rzeczoznawcom na każdym etapie budowy i użytkowania. W przypadku obiektów współczesnych  zakres identyfikacji ocenianych obiektów uwzględnia informacje określające własności stosowanych materiałów a normy określają standardy ich wbudowania. Przy obiektach współczesnych nie ma również ograniczeń przy pobieraniu próbek elementów budynku do badań laboratoryjnych. Jedynym  ograniczeniem są  wymagania użytkowe. Dostępne są również liczne </w:t>
      </w:r>
      <w:r w:rsidRPr="00007519">
        <w:rPr>
          <w:sz w:val="28"/>
          <w:szCs w:val="28"/>
        </w:rPr>
        <w:t>urzą</w:t>
      </w:r>
      <w:r>
        <w:rPr>
          <w:sz w:val="28"/>
          <w:szCs w:val="28"/>
        </w:rPr>
        <w:t>dz</w:t>
      </w:r>
      <w:r w:rsidRPr="00007519">
        <w:rPr>
          <w:sz w:val="28"/>
          <w:szCs w:val="28"/>
        </w:rPr>
        <w:t>enia do badań nieniszczących i mało niszczących.</w:t>
      </w:r>
    </w:p>
    <w:p w:rsidR="00007519" w:rsidRDefault="00007519" w:rsidP="00972E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W przypadku obiektów zabytkowych diagnoza określaj</w:t>
      </w:r>
      <w:r w:rsidRPr="00007519">
        <w:rPr>
          <w:sz w:val="28"/>
          <w:szCs w:val="28"/>
        </w:rPr>
        <w:t>ąca własności materiałów oraz poziomu b</w:t>
      </w:r>
      <w:r>
        <w:rPr>
          <w:sz w:val="28"/>
          <w:szCs w:val="28"/>
        </w:rPr>
        <w:t>ezpieczeństwa układu nośnego o</w:t>
      </w:r>
      <w:r w:rsidRPr="00007519">
        <w:rPr>
          <w:sz w:val="28"/>
          <w:szCs w:val="28"/>
        </w:rPr>
        <w:t>raz użytkowalności musi uwzględniać charakterystyczne</w:t>
      </w:r>
      <w:r w:rsidR="005A12B7">
        <w:rPr>
          <w:sz w:val="28"/>
          <w:szCs w:val="28"/>
        </w:rPr>
        <w:t xml:space="preserve"> cechy materiałów historycznych oraz stosowane w poszczególnych okresach stylowych </w:t>
      </w:r>
      <w:r w:rsidR="00485DCC">
        <w:rPr>
          <w:sz w:val="28"/>
          <w:szCs w:val="28"/>
        </w:rPr>
        <w:t xml:space="preserve">  metody </w:t>
      </w:r>
      <w:r w:rsidR="005A12B7">
        <w:rPr>
          <w:sz w:val="28"/>
          <w:szCs w:val="28"/>
        </w:rPr>
        <w:t>wznoszenia budynków i budowli. Informacje na ten  temat można znaleźć przede wszystkim w literaturze adresowanej do historyków sztuki i do konserwatorów.</w:t>
      </w:r>
    </w:p>
    <w:p w:rsidR="005A12B7" w:rsidRDefault="005A12B7" w:rsidP="00972E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W przypadku oceny obiektów historycznych duże znaczenie ma również doświadczenie  zawodowe autora diagnozy.</w:t>
      </w:r>
    </w:p>
    <w:p w:rsidR="005A12B7" w:rsidRDefault="005A12B7" w:rsidP="00972E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Jest  również oczywiste, że możliwości pobierania próbek historycznych materiałów są bardzo</w:t>
      </w:r>
      <w:r w:rsidR="00754D5A">
        <w:rPr>
          <w:sz w:val="28"/>
          <w:szCs w:val="28"/>
        </w:rPr>
        <w:t xml:space="preserve">  ograniczone</w:t>
      </w:r>
      <w:r>
        <w:rPr>
          <w:sz w:val="28"/>
          <w:szCs w:val="28"/>
        </w:rPr>
        <w:t>.</w:t>
      </w:r>
      <w:r w:rsidR="00754D5A">
        <w:rPr>
          <w:sz w:val="28"/>
          <w:szCs w:val="28"/>
        </w:rPr>
        <w:t xml:space="preserve"> </w:t>
      </w:r>
      <w:r>
        <w:rPr>
          <w:sz w:val="28"/>
          <w:szCs w:val="28"/>
        </w:rPr>
        <w:t>A ponadto każde badanie musi być przez autora dokładnie zdefiniowane i przed rozpoczęciem musi uzyskać formalną zgodę nadzoru konserwatorskiego na jego real</w:t>
      </w:r>
      <w:r w:rsidR="00754D5A">
        <w:rPr>
          <w:sz w:val="28"/>
          <w:szCs w:val="28"/>
        </w:rPr>
        <w:t>izację. W obiektach zabytkowych</w:t>
      </w:r>
      <w:r>
        <w:rPr>
          <w:sz w:val="28"/>
          <w:szCs w:val="28"/>
        </w:rPr>
        <w:t>, bardziej nawet niż</w:t>
      </w:r>
      <w:r w:rsidR="00972E14">
        <w:rPr>
          <w:sz w:val="28"/>
          <w:szCs w:val="28"/>
        </w:rPr>
        <w:t xml:space="preserve"> we współczesnych preferowane są</w:t>
      </w:r>
      <w:r>
        <w:rPr>
          <w:sz w:val="28"/>
          <w:szCs w:val="28"/>
        </w:rPr>
        <w:t xml:space="preserve"> nieniszczące metody badania materiałó</w:t>
      </w:r>
      <w:r w:rsidR="00972E14">
        <w:rPr>
          <w:sz w:val="28"/>
          <w:szCs w:val="28"/>
        </w:rPr>
        <w:t xml:space="preserve">w </w:t>
      </w:r>
      <w:r w:rsidR="00754D5A">
        <w:rPr>
          <w:sz w:val="28"/>
          <w:szCs w:val="28"/>
        </w:rPr>
        <w:t xml:space="preserve">i </w:t>
      </w:r>
      <w:r>
        <w:rPr>
          <w:sz w:val="28"/>
          <w:szCs w:val="28"/>
        </w:rPr>
        <w:t>obiektów.</w:t>
      </w:r>
    </w:p>
    <w:p w:rsidR="00485DCC" w:rsidRDefault="00485DCC" w:rsidP="00972E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W referacie zilustrowano miedzy innymi przykład oryginalnego badania nieniszczącego polegające na  wymontowaniu elementu zabytkowej więźby i określeniu parametrów wytrzymałościowych w  akredytowanym laboratorium przy zachowaniu użytkowego zakresu obciążeń próbnych.</w:t>
      </w:r>
    </w:p>
    <w:p w:rsidR="00E0711E" w:rsidRDefault="00E0711E" w:rsidP="00F95B16">
      <w:pPr>
        <w:jc w:val="center"/>
        <w:rPr>
          <w:sz w:val="28"/>
          <w:szCs w:val="28"/>
        </w:rPr>
      </w:pPr>
      <w:r w:rsidRPr="00E0711E">
        <w:rPr>
          <w:sz w:val="28"/>
          <w:szCs w:val="28"/>
        </w:rPr>
        <w:drawing>
          <wp:inline distT="0" distB="0" distL="0" distR="0" wp14:anchorId="01D07241" wp14:editId="34BBD4CC">
            <wp:extent cx="4238625" cy="2828925"/>
            <wp:effectExtent l="0" t="0" r="9525" b="9525"/>
            <wp:docPr id="39940" name="Obraz 16" descr="DSC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0" name="Obraz 16" descr="DSC0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711E" w:rsidRDefault="00E0711E" w:rsidP="00E0711E">
      <w:pPr>
        <w:jc w:val="center"/>
        <w:rPr>
          <w:sz w:val="28"/>
          <w:szCs w:val="28"/>
        </w:rPr>
      </w:pPr>
      <w:r w:rsidRPr="00E0711E">
        <w:rPr>
          <w:sz w:val="28"/>
          <w:szCs w:val="28"/>
        </w:rPr>
        <w:drawing>
          <wp:inline distT="0" distB="0" distL="0" distR="0" wp14:anchorId="13151C39" wp14:editId="2BE8763F">
            <wp:extent cx="4276725" cy="2838450"/>
            <wp:effectExtent l="0" t="0" r="9525" b="0"/>
            <wp:docPr id="39941" name="Obraz 19" descr="DSC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1" name="Obraz 19" descr="DSC0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E0711E" w:rsidRPr="00E0711E" w:rsidRDefault="00E0711E" w:rsidP="00E0711E">
      <w:pPr>
        <w:rPr>
          <w:sz w:val="28"/>
          <w:szCs w:val="28"/>
        </w:rPr>
      </w:pPr>
      <w:r>
        <w:rPr>
          <w:b/>
          <w:sz w:val="28"/>
          <w:szCs w:val="28"/>
        </w:rPr>
        <w:t>Rys.1</w:t>
      </w:r>
      <w:r w:rsidRPr="00E0711E">
        <w:rPr>
          <w:b/>
          <w:sz w:val="28"/>
          <w:szCs w:val="28"/>
        </w:rPr>
        <w:t>.</w:t>
      </w:r>
      <w:r w:rsidRPr="00E0711E">
        <w:rPr>
          <w:sz w:val="28"/>
          <w:szCs w:val="28"/>
        </w:rPr>
        <w:t xml:space="preserve"> Ilustracja nieniszczących badań reprezentatyw</w:t>
      </w:r>
      <w:r>
        <w:rPr>
          <w:sz w:val="28"/>
          <w:szCs w:val="28"/>
        </w:rPr>
        <w:t xml:space="preserve">nych krokwi pobranych z więźby zabytkowego </w:t>
      </w:r>
      <w:r w:rsidRPr="00E0711E">
        <w:rPr>
          <w:sz w:val="28"/>
          <w:szCs w:val="28"/>
        </w:rPr>
        <w:t xml:space="preserve"> baraku </w:t>
      </w:r>
      <w:r>
        <w:rPr>
          <w:sz w:val="28"/>
          <w:szCs w:val="28"/>
        </w:rPr>
        <w:t>.</w:t>
      </w:r>
    </w:p>
    <w:p w:rsidR="00E0711E" w:rsidRDefault="00E0711E" w:rsidP="00E0711E">
      <w:pPr>
        <w:ind w:firstLine="708"/>
        <w:jc w:val="center"/>
        <w:rPr>
          <w:sz w:val="28"/>
          <w:szCs w:val="28"/>
        </w:rPr>
      </w:pPr>
    </w:p>
    <w:p w:rsidR="005A12B7" w:rsidRDefault="005A12B7" w:rsidP="00972E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W zaprezentowanym referacie autor przedstawił</w:t>
      </w:r>
      <w:r w:rsidR="00972E14">
        <w:rPr>
          <w:sz w:val="28"/>
          <w:szCs w:val="28"/>
        </w:rPr>
        <w:t xml:space="preserve"> ilustracje rysunkowe zawierające systematykę rozwiązań stosowanych w budownictwie murowanym </w:t>
      </w:r>
      <w:r w:rsidR="00972E14">
        <w:rPr>
          <w:sz w:val="28"/>
          <w:szCs w:val="28"/>
        </w:rPr>
        <w:lastRenderedPageBreak/>
        <w:t>i w budownictwie drewnianym z uwzględnieniem charakterystycznych rozwiązań stosowanych w poszczególnych okresach stylowych.</w:t>
      </w:r>
    </w:p>
    <w:p w:rsidR="00420F7A" w:rsidRPr="00007519" w:rsidRDefault="00420F7A" w:rsidP="00972E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Zwrócono również uwagę na odmienne mechanizmy przebiegu hipotetycznych katastrof  historycznych konstrukcji. Przykład takiej ilustracji stanowi przypadek wadliwego wzmocnienia więźby w kościele  barokowym.</w:t>
      </w:r>
    </w:p>
    <w:p w:rsidR="00E0711E" w:rsidRDefault="00A77021">
      <w:pPr>
        <w:rPr>
          <w:sz w:val="28"/>
          <w:szCs w:val="28"/>
        </w:rPr>
      </w:pPr>
      <w:r w:rsidRPr="00A77021">
        <w:rPr>
          <w:sz w:val="28"/>
          <w:szCs w:val="28"/>
        </w:rPr>
        <w:drawing>
          <wp:inline distT="0" distB="0" distL="0" distR="0" wp14:anchorId="590FA598" wp14:editId="4850AE9B">
            <wp:extent cx="5760720" cy="3605156"/>
            <wp:effectExtent l="0" t="0" r="0" b="0"/>
            <wp:docPr id="51203" name="Picture 4" descr="ry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3" name="Picture 4" descr="rys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5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77021" w:rsidRPr="00007519" w:rsidRDefault="00A77021">
      <w:pPr>
        <w:rPr>
          <w:sz w:val="28"/>
          <w:szCs w:val="28"/>
        </w:rPr>
      </w:pPr>
      <w:r w:rsidRPr="00F95B16">
        <w:rPr>
          <w:b/>
          <w:sz w:val="28"/>
          <w:szCs w:val="28"/>
        </w:rPr>
        <w:t>Rys.2.</w:t>
      </w:r>
      <w:r>
        <w:rPr>
          <w:sz w:val="28"/>
          <w:szCs w:val="28"/>
        </w:rPr>
        <w:t xml:space="preserve"> Graficzna ilustracja hipotetycznego przebiegu katastrofy  sklepienia w </w:t>
      </w:r>
      <w:r w:rsidR="00F95B16">
        <w:rPr>
          <w:sz w:val="28"/>
          <w:szCs w:val="28"/>
        </w:rPr>
        <w:t>następstwie wadliwego wykonanego wzmocnienia więźby</w:t>
      </w:r>
    </w:p>
    <w:sectPr w:rsidR="00A77021" w:rsidRPr="00007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77D" w:rsidRDefault="00B9177D" w:rsidP="00007519">
      <w:pPr>
        <w:spacing w:after="0" w:line="240" w:lineRule="auto"/>
      </w:pPr>
      <w:r>
        <w:separator/>
      </w:r>
    </w:p>
  </w:endnote>
  <w:endnote w:type="continuationSeparator" w:id="0">
    <w:p w:rsidR="00B9177D" w:rsidRDefault="00B9177D" w:rsidP="00007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77D" w:rsidRDefault="00B9177D" w:rsidP="00007519">
      <w:pPr>
        <w:spacing w:after="0" w:line="240" w:lineRule="auto"/>
      </w:pPr>
      <w:r>
        <w:separator/>
      </w:r>
    </w:p>
  </w:footnote>
  <w:footnote w:type="continuationSeparator" w:id="0">
    <w:p w:rsidR="00B9177D" w:rsidRDefault="00B9177D" w:rsidP="00007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519"/>
    <w:rsid w:val="00007519"/>
    <w:rsid w:val="00420F7A"/>
    <w:rsid w:val="00485DCC"/>
    <w:rsid w:val="005A12B7"/>
    <w:rsid w:val="00754D5A"/>
    <w:rsid w:val="00972E14"/>
    <w:rsid w:val="00A77021"/>
    <w:rsid w:val="00B9177D"/>
    <w:rsid w:val="00E0711E"/>
    <w:rsid w:val="00E82240"/>
    <w:rsid w:val="00F95B16"/>
    <w:rsid w:val="00FC02AA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75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75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751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75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75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751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0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A42</dc:creator>
  <cp:lastModifiedBy>A42</cp:lastModifiedBy>
  <cp:revision>5</cp:revision>
  <dcterms:created xsi:type="dcterms:W3CDTF">2018-04-11T11:27:00Z</dcterms:created>
  <dcterms:modified xsi:type="dcterms:W3CDTF">2018-04-12T07:52:00Z</dcterms:modified>
</cp:coreProperties>
</file>